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D0C8" w14:textId="77777777" w:rsidR="003F109F" w:rsidRPr="002A7A0C" w:rsidRDefault="003F109F" w:rsidP="003F109F">
      <w:pPr>
        <w:keepNext/>
        <w:keepLines/>
        <w:spacing w:before="240" w:after="0"/>
        <w:outlineLvl w:val="0"/>
        <w:rPr>
          <w:rFonts w:ascii="Arial Narrow" w:eastAsia="Times New Roman" w:hAnsi="Arial Narrow" w:cs="Times New Roman"/>
          <w:b/>
          <w:color w:val="2E74B5"/>
          <w:sz w:val="32"/>
          <w:szCs w:val="32"/>
        </w:rPr>
      </w:pPr>
      <w:r w:rsidRPr="002A7A0C">
        <w:rPr>
          <w:rFonts w:ascii="Arial Narrow" w:eastAsia="Times New Roman" w:hAnsi="Arial Narrow" w:cs="Times New Roman"/>
          <w:b/>
          <w:color w:val="2E74B5"/>
          <w:sz w:val="32"/>
          <w:szCs w:val="32"/>
        </w:rPr>
        <w:t>Season Structure:</w:t>
      </w:r>
    </w:p>
    <w:p w14:paraId="414B51A3" w14:textId="77777777" w:rsidR="003F109F" w:rsidRPr="002A7A0C" w:rsidRDefault="003F109F" w:rsidP="006E3894">
      <w:pPr>
        <w:numPr>
          <w:ilvl w:val="0"/>
          <w:numId w:val="1"/>
        </w:numPr>
        <w:spacing w:after="120" w:line="240" w:lineRule="auto"/>
        <w:rPr>
          <w:rFonts w:ascii="Arial Narrow" w:eastAsia="Calibri" w:hAnsi="Arial Narrow" w:cs="Times New Roman"/>
          <w:b/>
        </w:rPr>
      </w:pPr>
      <w:r w:rsidRPr="002A7A0C">
        <w:rPr>
          <w:rFonts w:ascii="Arial Narrow" w:eastAsia="Calibri" w:hAnsi="Arial Narrow" w:cs="Times New Roman"/>
          <w:b/>
        </w:rPr>
        <w:t xml:space="preserve">The </w:t>
      </w:r>
      <w:r w:rsidR="004531BE" w:rsidRPr="002A7A0C">
        <w:rPr>
          <w:rFonts w:ascii="Arial Narrow" w:eastAsia="Calibri" w:hAnsi="Arial Narrow" w:cs="Times New Roman"/>
          <w:b/>
        </w:rPr>
        <w:t>6</w:t>
      </w:r>
      <w:r w:rsidRPr="002A7A0C">
        <w:rPr>
          <w:rFonts w:ascii="Arial Narrow" w:eastAsia="Calibri" w:hAnsi="Arial Narrow" w:cs="Times New Roman"/>
          <w:b/>
        </w:rPr>
        <w:t>-game (</w:t>
      </w:r>
      <w:r w:rsidR="004531BE" w:rsidRPr="002A7A0C">
        <w:rPr>
          <w:rFonts w:ascii="Arial Narrow" w:eastAsia="Calibri" w:hAnsi="Arial Narrow" w:cs="Times New Roman"/>
          <w:b/>
        </w:rPr>
        <w:t>3</w:t>
      </w:r>
      <w:r w:rsidRPr="002A7A0C">
        <w:rPr>
          <w:rFonts w:ascii="Arial Narrow" w:eastAsia="Calibri" w:hAnsi="Arial Narrow" w:cs="Times New Roman"/>
          <w:b/>
        </w:rPr>
        <w:t>h/</w:t>
      </w:r>
      <w:r w:rsidR="004531BE" w:rsidRPr="002A7A0C">
        <w:rPr>
          <w:rFonts w:ascii="Arial Narrow" w:eastAsia="Calibri" w:hAnsi="Arial Narrow" w:cs="Times New Roman"/>
          <w:b/>
        </w:rPr>
        <w:t>3</w:t>
      </w:r>
      <w:r w:rsidRPr="002A7A0C">
        <w:rPr>
          <w:rFonts w:ascii="Arial Narrow" w:eastAsia="Calibri" w:hAnsi="Arial Narrow" w:cs="Times New Roman"/>
          <w:b/>
        </w:rPr>
        <w:t>a) preseason is an international exhibition series that starts in late September and ends in mid-October:</w:t>
      </w:r>
    </w:p>
    <w:p w14:paraId="4D9A9430" w14:textId="228FABD7" w:rsidR="003F109F" w:rsidRPr="006E3894" w:rsidRDefault="006E3894" w:rsidP="006E3894">
      <w:pPr>
        <w:numPr>
          <w:ilvl w:val="1"/>
          <w:numId w:val="1"/>
        </w:numPr>
        <w:spacing w:after="120" w:line="240" w:lineRule="auto"/>
        <w:rPr>
          <w:rFonts w:ascii="Arial Narrow" w:eastAsia="Calibri" w:hAnsi="Arial Narrow" w:cs="Times New Roman"/>
          <w:sz w:val="20"/>
        </w:rPr>
      </w:pPr>
      <w:proofErr w:type="spellStart"/>
      <w:r>
        <w:rPr>
          <w:rFonts w:ascii="Arial Narrow" w:eastAsia="Calibri" w:hAnsi="Arial Narrow" w:cs="Times New Roman"/>
          <w:sz w:val="20"/>
        </w:rPr>
        <w:t>EuroLeague</w:t>
      </w:r>
      <w:proofErr w:type="spellEnd"/>
      <w:r>
        <w:rPr>
          <w:rFonts w:ascii="Arial Narrow" w:eastAsia="Calibri" w:hAnsi="Arial Narrow" w:cs="Times New Roman"/>
          <w:sz w:val="20"/>
        </w:rPr>
        <w:t xml:space="preserve"> teams will play games against the eastern conference teams of the </w:t>
      </w:r>
      <w:r w:rsidR="003F109F" w:rsidRPr="006E3894">
        <w:rPr>
          <w:rFonts w:ascii="Arial Narrow" w:eastAsia="Calibri" w:hAnsi="Arial Narrow" w:cs="Times New Roman"/>
          <w:sz w:val="20"/>
        </w:rPr>
        <w:t>National Basketball Association (NBA) teams with one long tour in Europe (for American franchises) and one long American tour (for European franchises) in an alternating cycle.</w:t>
      </w:r>
    </w:p>
    <w:p w14:paraId="3E33E276" w14:textId="77777777" w:rsidR="003F109F" w:rsidRPr="002A7A0C" w:rsidRDefault="003F109F" w:rsidP="006E389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 xml:space="preserve">All </w:t>
      </w:r>
      <w:proofErr w:type="spellStart"/>
      <w:r w:rsidRPr="002A7A0C">
        <w:rPr>
          <w:rFonts w:ascii="Arial Narrow" w:eastAsia="Calibri" w:hAnsi="Arial Narrow" w:cs="Times New Roman"/>
          <w:sz w:val="20"/>
        </w:rPr>
        <w:t>EuroLeague</w:t>
      </w:r>
      <w:proofErr w:type="spellEnd"/>
      <w:r w:rsidRPr="002A7A0C">
        <w:rPr>
          <w:rFonts w:ascii="Arial Narrow" w:eastAsia="Calibri" w:hAnsi="Arial Narrow" w:cs="Times New Roman"/>
          <w:sz w:val="20"/>
        </w:rPr>
        <w:t xml:space="preserve"> players must play in at least </w:t>
      </w:r>
      <w:r w:rsidR="004531BE" w:rsidRPr="002A7A0C">
        <w:rPr>
          <w:rFonts w:ascii="Arial Narrow" w:eastAsia="Calibri" w:hAnsi="Arial Narrow" w:cs="Times New Roman"/>
          <w:sz w:val="20"/>
        </w:rPr>
        <w:t xml:space="preserve">3 </w:t>
      </w:r>
      <w:r w:rsidRPr="002A7A0C">
        <w:rPr>
          <w:rFonts w:ascii="Arial Narrow" w:eastAsia="Calibri" w:hAnsi="Arial Narrow" w:cs="Times New Roman"/>
          <w:sz w:val="20"/>
        </w:rPr>
        <w:t>games during the preseason/international exhibition games before the start of the regular season.</w:t>
      </w:r>
    </w:p>
    <w:p w14:paraId="678392D2" w14:textId="3CFDA393" w:rsidR="000B7567" w:rsidRPr="002A7A0C" w:rsidRDefault="000B7567" w:rsidP="006E3894">
      <w:pPr>
        <w:pStyle w:val="ListParagraph"/>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There must be a 2-day break in between games during each tour, a 3-day break in-between tours, and another 3-day break between the end of the p</w:t>
      </w:r>
      <w:r w:rsidR="00E23B30" w:rsidRPr="002A7A0C">
        <w:rPr>
          <w:rFonts w:ascii="Arial Narrow" w:eastAsia="Calibri" w:hAnsi="Arial Narrow" w:cs="Times New Roman"/>
          <w:sz w:val="20"/>
        </w:rPr>
        <w:t>reseason &amp; start of the regular-</w:t>
      </w:r>
      <w:r w:rsidRPr="002A7A0C">
        <w:rPr>
          <w:rFonts w:ascii="Arial Narrow" w:eastAsia="Calibri" w:hAnsi="Arial Narrow" w:cs="Times New Roman"/>
          <w:sz w:val="20"/>
        </w:rPr>
        <w:t>season.</w:t>
      </w:r>
    </w:p>
    <w:p w14:paraId="090E1400" w14:textId="067B28FC" w:rsidR="000F7F5B" w:rsidRPr="006E6ACD" w:rsidRDefault="000F7F5B" w:rsidP="006E3894">
      <w:pPr>
        <w:numPr>
          <w:ilvl w:val="1"/>
          <w:numId w:val="1"/>
        </w:numPr>
        <w:spacing w:after="120" w:line="240" w:lineRule="auto"/>
        <w:rPr>
          <w:rFonts w:ascii="Arial Narrow" w:hAnsi="Arial Narrow"/>
          <w:i/>
          <w:sz w:val="20"/>
          <w:u w:val="single"/>
        </w:rPr>
      </w:pPr>
      <w:r w:rsidRPr="006E6ACD">
        <w:rPr>
          <w:rFonts w:ascii="Arial Narrow" w:hAnsi="Arial Narrow"/>
          <w:i/>
          <w:sz w:val="20"/>
          <w:u w:val="single"/>
        </w:rPr>
        <w:t xml:space="preserve">Every year when the </w:t>
      </w:r>
      <w:r w:rsidR="00C0081E" w:rsidRPr="00C0081E">
        <w:rPr>
          <w:rFonts w:ascii="Arial Narrow" w:hAnsi="Arial Narrow"/>
          <w:i/>
          <w:sz w:val="20"/>
          <w:u w:val="single"/>
        </w:rPr>
        <w:t>EuroBasket</w:t>
      </w:r>
      <w:r w:rsidR="00C0081E">
        <w:rPr>
          <w:rFonts w:ascii="Arial Narrow" w:hAnsi="Arial Narrow"/>
          <w:i/>
          <w:sz w:val="20"/>
          <w:u w:val="single"/>
        </w:rPr>
        <w:t xml:space="preserve"> </w:t>
      </w:r>
      <w:r w:rsidRPr="006E6ACD">
        <w:rPr>
          <w:rFonts w:ascii="Arial Narrow" w:hAnsi="Arial Narrow"/>
          <w:i/>
          <w:sz w:val="20"/>
          <w:u w:val="single"/>
        </w:rPr>
        <w:t>or FIBA Basketball World Cup are not held, the national teams will hold a series of 4 exhibition games (2 of which must be in their home country) around the world during August &amp; September:</w:t>
      </w:r>
    </w:p>
    <w:p w14:paraId="7C220AA7" w14:textId="77777777" w:rsidR="000F7F5B" w:rsidRPr="006E6ACD" w:rsidRDefault="000F7F5B" w:rsidP="006E3894">
      <w:pPr>
        <w:numPr>
          <w:ilvl w:val="2"/>
          <w:numId w:val="1"/>
        </w:numPr>
        <w:spacing w:after="120" w:line="240" w:lineRule="auto"/>
        <w:contextualSpacing/>
        <w:rPr>
          <w:rFonts w:ascii="Arial Narrow" w:hAnsi="Arial Narrow"/>
          <w:sz w:val="18"/>
        </w:rPr>
      </w:pPr>
      <w:r>
        <w:rPr>
          <w:rFonts w:ascii="Arial Narrow" w:hAnsi="Arial Narrow"/>
          <w:sz w:val="18"/>
        </w:rPr>
        <w:t>All of the</w:t>
      </w:r>
      <w:r w:rsidRPr="006E6ACD">
        <w:rPr>
          <w:rFonts w:ascii="Arial Narrow" w:hAnsi="Arial Narrow"/>
          <w:sz w:val="18"/>
        </w:rPr>
        <w:t xml:space="preserve"> national team</w:t>
      </w:r>
      <w:r>
        <w:rPr>
          <w:rFonts w:ascii="Arial Narrow" w:hAnsi="Arial Narrow"/>
          <w:sz w:val="18"/>
        </w:rPr>
        <w:t>s</w:t>
      </w:r>
      <w:r w:rsidRPr="006E6ACD">
        <w:rPr>
          <w:rFonts w:ascii="Arial Narrow" w:hAnsi="Arial Narrow"/>
          <w:sz w:val="18"/>
        </w:rPr>
        <w:t xml:space="preserve"> can play in any basketball arena with a total seating capacity of at least </w:t>
      </w:r>
      <w:r w:rsidRPr="006E6ACD">
        <w:rPr>
          <w:rFonts w:ascii="Arial Narrow" w:hAnsi="Arial Narrow"/>
          <w:i/>
          <w:sz w:val="18"/>
        </w:rPr>
        <w:t>10,000</w:t>
      </w:r>
      <w:r>
        <w:rPr>
          <w:rFonts w:ascii="Arial Narrow" w:hAnsi="Arial Narrow"/>
          <w:sz w:val="18"/>
        </w:rPr>
        <w:t xml:space="preserve"> seating capacity.</w:t>
      </w:r>
    </w:p>
    <w:p w14:paraId="40FFB3E3" w14:textId="1639BC14" w:rsidR="000F7F5B" w:rsidRPr="006E6ACD" w:rsidRDefault="000F7F5B" w:rsidP="006E3894">
      <w:pPr>
        <w:numPr>
          <w:ilvl w:val="2"/>
          <w:numId w:val="1"/>
        </w:numPr>
        <w:spacing w:after="120" w:line="240" w:lineRule="auto"/>
        <w:contextualSpacing/>
        <w:rPr>
          <w:rFonts w:ascii="Arial Narrow" w:hAnsi="Arial Narrow"/>
          <w:sz w:val="18"/>
        </w:rPr>
      </w:pPr>
      <w:r w:rsidRPr="006E6ACD">
        <w:rPr>
          <w:rFonts w:ascii="Arial Narrow" w:hAnsi="Arial Narrow"/>
          <w:sz w:val="18"/>
        </w:rPr>
        <w:t>All of the national team players will complete fall training with their national team.</w:t>
      </w:r>
    </w:p>
    <w:p w14:paraId="2CA4D1D3" w14:textId="77777777" w:rsidR="000F7F5B" w:rsidRPr="006E6ACD" w:rsidRDefault="000F7F5B" w:rsidP="006E3894">
      <w:pPr>
        <w:numPr>
          <w:ilvl w:val="2"/>
          <w:numId w:val="1"/>
        </w:numPr>
        <w:spacing w:after="120" w:line="240" w:lineRule="auto"/>
        <w:rPr>
          <w:rFonts w:ascii="Arial Narrow" w:hAnsi="Arial Narrow"/>
          <w:sz w:val="18"/>
        </w:rPr>
      </w:pPr>
      <w:r w:rsidRPr="006E6ACD">
        <w:rPr>
          <w:rFonts w:ascii="Arial Narrow" w:hAnsi="Arial Narrow"/>
          <w:sz w:val="18"/>
        </w:rPr>
        <w:t>All of the national team players must be paid during the preseason while they are playing with their national team.</w:t>
      </w:r>
    </w:p>
    <w:p w14:paraId="0E55B504" w14:textId="4F4E6EDF" w:rsidR="000F7F5B" w:rsidRPr="000F7F5B" w:rsidRDefault="000F7F5B" w:rsidP="006E3894">
      <w:pPr>
        <w:numPr>
          <w:ilvl w:val="1"/>
          <w:numId w:val="1"/>
        </w:numPr>
        <w:spacing w:after="120" w:line="240" w:lineRule="auto"/>
        <w:rPr>
          <w:rFonts w:ascii="Arial Narrow" w:hAnsi="Arial Narrow"/>
          <w:sz w:val="20"/>
        </w:rPr>
      </w:pPr>
      <w:r w:rsidRPr="000F7F5B">
        <w:rPr>
          <w:rFonts w:ascii="Arial Narrow" w:hAnsi="Arial Narrow"/>
          <w:sz w:val="20"/>
        </w:rPr>
        <w:t>All preseason tickets (including national team exhibitions) must not cost more than 2017 US$35 (must be adjusted for inflation).</w:t>
      </w:r>
    </w:p>
    <w:p w14:paraId="670A3D2A" w14:textId="44994622" w:rsidR="003F109F" w:rsidRPr="002A7A0C" w:rsidRDefault="003F109F" w:rsidP="006E3894">
      <w:pPr>
        <w:numPr>
          <w:ilvl w:val="0"/>
          <w:numId w:val="1"/>
        </w:numPr>
        <w:spacing w:after="120" w:line="240" w:lineRule="auto"/>
        <w:rPr>
          <w:rFonts w:ascii="Arial Narrow" w:eastAsia="Calibri" w:hAnsi="Arial Narrow" w:cs="Times New Roman"/>
          <w:b/>
        </w:rPr>
      </w:pPr>
      <w:r w:rsidRPr="002A7A0C">
        <w:rPr>
          <w:rFonts w:ascii="Arial Narrow" w:eastAsia="Calibri" w:hAnsi="Arial Narrow" w:cs="Times New Roman"/>
          <w:b/>
          <w:iCs/>
        </w:rPr>
        <w:t>The regular-season is a 6</w:t>
      </w:r>
      <w:r w:rsidR="00AC23B8">
        <w:rPr>
          <w:rFonts w:ascii="Arial Narrow" w:eastAsia="Calibri" w:hAnsi="Arial Narrow" w:cs="Times New Roman"/>
          <w:b/>
          <w:iCs/>
        </w:rPr>
        <w:t>8</w:t>
      </w:r>
      <w:r w:rsidRPr="002A7A0C">
        <w:rPr>
          <w:rFonts w:ascii="Arial Narrow" w:eastAsia="Calibri" w:hAnsi="Arial Narrow" w:cs="Times New Roman"/>
          <w:b/>
          <w:iCs/>
        </w:rPr>
        <w:t>-game (3</w:t>
      </w:r>
      <w:r w:rsidR="00AC23B8">
        <w:rPr>
          <w:rFonts w:ascii="Arial Narrow" w:eastAsia="Calibri" w:hAnsi="Arial Narrow" w:cs="Times New Roman"/>
          <w:b/>
          <w:iCs/>
        </w:rPr>
        <w:t>4</w:t>
      </w:r>
      <w:r w:rsidRPr="002A7A0C">
        <w:rPr>
          <w:rFonts w:ascii="Arial Narrow" w:eastAsia="Calibri" w:hAnsi="Arial Narrow" w:cs="Times New Roman"/>
          <w:b/>
          <w:iCs/>
        </w:rPr>
        <w:t>h/3</w:t>
      </w:r>
      <w:r w:rsidR="00AC23B8">
        <w:rPr>
          <w:rFonts w:ascii="Arial Narrow" w:eastAsia="Calibri" w:hAnsi="Arial Narrow" w:cs="Times New Roman"/>
          <w:b/>
          <w:iCs/>
        </w:rPr>
        <w:t>4</w:t>
      </w:r>
      <w:r w:rsidRPr="002A7A0C">
        <w:rPr>
          <w:rFonts w:ascii="Arial Narrow" w:eastAsia="Calibri" w:hAnsi="Arial Narrow" w:cs="Times New Roman"/>
          <w:b/>
          <w:iCs/>
        </w:rPr>
        <w:t>a) season that starts in late October and ends in mid-March:</w:t>
      </w:r>
    </w:p>
    <w:p w14:paraId="0ED96627" w14:textId="462918E8" w:rsidR="003F109F" w:rsidRPr="002A7A0C" w:rsidRDefault="00801402" w:rsidP="006E389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Each team plays</w:t>
      </w:r>
      <w:r w:rsidR="003F109F" w:rsidRPr="002A7A0C">
        <w:rPr>
          <w:rFonts w:ascii="Arial Narrow" w:eastAsia="Calibri" w:hAnsi="Arial Narrow" w:cs="Times New Roman"/>
          <w:sz w:val="20"/>
        </w:rPr>
        <w:t xml:space="preserve"> </w:t>
      </w:r>
      <w:r w:rsidR="006E3894">
        <w:rPr>
          <w:rFonts w:ascii="Arial Narrow" w:eastAsia="Calibri" w:hAnsi="Arial Narrow" w:cs="Times New Roman"/>
          <w:sz w:val="20"/>
        </w:rPr>
        <w:t>4</w:t>
      </w:r>
      <w:r w:rsidRPr="002A7A0C">
        <w:rPr>
          <w:rFonts w:ascii="Arial Narrow" w:eastAsia="Calibri" w:hAnsi="Arial Narrow" w:cs="Times New Roman"/>
          <w:sz w:val="20"/>
        </w:rPr>
        <w:t xml:space="preserve"> </w:t>
      </w:r>
      <w:r w:rsidR="003F109F" w:rsidRPr="002A7A0C">
        <w:rPr>
          <w:rFonts w:ascii="Arial Narrow" w:eastAsia="Calibri" w:hAnsi="Arial Narrow" w:cs="Times New Roman"/>
          <w:sz w:val="20"/>
        </w:rPr>
        <w:t>games (</w:t>
      </w:r>
      <w:r w:rsidR="006E3894">
        <w:rPr>
          <w:rFonts w:ascii="Arial Narrow" w:eastAsia="Calibri" w:hAnsi="Arial Narrow" w:cs="Times New Roman"/>
          <w:sz w:val="20"/>
        </w:rPr>
        <w:t>2</w:t>
      </w:r>
      <w:r w:rsidR="00D15425" w:rsidRPr="002A7A0C">
        <w:rPr>
          <w:rFonts w:ascii="Arial Narrow" w:eastAsia="Calibri" w:hAnsi="Arial Narrow" w:cs="Times New Roman"/>
          <w:sz w:val="20"/>
        </w:rPr>
        <w:t>h/</w:t>
      </w:r>
      <w:r w:rsidR="006E3894">
        <w:rPr>
          <w:rFonts w:ascii="Arial Narrow" w:eastAsia="Calibri" w:hAnsi="Arial Narrow" w:cs="Times New Roman"/>
          <w:sz w:val="20"/>
        </w:rPr>
        <w:t>2</w:t>
      </w:r>
      <w:r w:rsidR="00D15425" w:rsidRPr="002A7A0C">
        <w:rPr>
          <w:rFonts w:ascii="Arial Narrow" w:eastAsia="Calibri" w:hAnsi="Arial Narrow" w:cs="Times New Roman"/>
          <w:sz w:val="20"/>
        </w:rPr>
        <w:t>a</w:t>
      </w:r>
      <w:r w:rsidR="003F109F" w:rsidRPr="002A7A0C">
        <w:rPr>
          <w:rFonts w:ascii="Arial Narrow" w:eastAsia="Calibri" w:hAnsi="Arial Narrow" w:cs="Times New Roman"/>
          <w:sz w:val="20"/>
        </w:rPr>
        <w:t xml:space="preserve">) against all of the other </w:t>
      </w:r>
      <w:r w:rsidR="006E3894">
        <w:rPr>
          <w:rFonts w:ascii="Arial Narrow" w:eastAsia="Calibri" w:hAnsi="Arial Narrow" w:cs="Times New Roman"/>
          <w:sz w:val="20"/>
        </w:rPr>
        <w:t>1</w:t>
      </w:r>
      <w:r w:rsidR="00AC23B8">
        <w:rPr>
          <w:rFonts w:ascii="Arial Narrow" w:eastAsia="Calibri" w:hAnsi="Arial Narrow" w:cs="Times New Roman"/>
          <w:sz w:val="20"/>
        </w:rPr>
        <w:t>7</w:t>
      </w:r>
      <w:r w:rsidR="003F109F" w:rsidRPr="002A7A0C">
        <w:rPr>
          <w:rFonts w:ascii="Arial Narrow" w:eastAsia="Calibri" w:hAnsi="Arial Narrow" w:cs="Times New Roman"/>
          <w:sz w:val="20"/>
        </w:rPr>
        <w:t xml:space="preserve"> teams in the</w:t>
      </w:r>
      <w:r w:rsidR="006E3894">
        <w:rPr>
          <w:rFonts w:ascii="Arial Narrow" w:eastAsia="Calibri" w:hAnsi="Arial Narrow" w:cs="Times New Roman"/>
          <w:sz w:val="20"/>
        </w:rPr>
        <w:t xml:space="preserve"> league.</w:t>
      </w:r>
    </w:p>
    <w:p w14:paraId="25772DA2" w14:textId="77777777" w:rsidR="003F109F" w:rsidRPr="002A7A0C" w:rsidRDefault="003F109F" w:rsidP="006E3894">
      <w:pPr>
        <w:numPr>
          <w:ilvl w:val="1"/>
          <w:numId w:val="1"/>
        </w:numPr>
        <w:spacing w:after="120" w:line="240" w:lineRule="auto"/>
        <w:rPr>
          <w:rFonts w:ascii="Arial Narrow" w:eastAsia="Calibri" w:hAnsi="Arial Narrow" w:cs="Times New Roman"/>
          <w:i/>
          <w:sz w:val="20"/>
          <w:u w:val="single"/>
        </w:rPr>
      </w:pPr>
      <w:r w:rsidRPr="002A7A0C">
        <w:rPr>
          <w:rFonts w:ascii="Arial Narrow" w:eastAsia="Calibri" w:hAnsi="Arial Narrow" w:cs="Times New Roman"/>
          <w:i/>
          <w:sz w:val="20"/>
          <w:u w:val="single"/>
        </w:rPr>
        <w:t>Each team will receive premier points for entry into the post season:</w:t>
      </w:r>
    </w:p>
    <w:p w14:paraId="42024298" w14:textId="0478FEFC" w:rsidR="00701A45" w:rsidRPr="00701A45" w:rsidRDefault="00701A45" w:rsidP="00701A45">
      <w:pPr>
        <w:pStyle w:val="ListParagraph"/>
        <w:numPr>
          <w:ilvl w:val="2"/>
          <w:numId w:val="1"/>
        </w:numPr>
        <w:spacing w:after="120" w:line="240" w:lineRule="auto"/>
        <w:rPr>
          <w:rFonts w:ascii="Arial Narrow" w:eastAsia="Calibri" w:hAnsi="Arial Narrow" w:cs="Times New Roman"/>
          <w:sz w:val="18"/>
        </w:rPr>
      </w:pPr>
      <w:r w:rsidRPr="00701A45">
        <w:rPr>
          <w:rFonts w:ascii="Arial Narrow" w:eastAsia="Calibri" w:hAnsi="Arial Narrow" w:cs="Times New Roman"/>
          <w:sz w:val="18"/>
        </w:rPr>
        <w:t>Points are now used to determine which teams will advance into the postseason. Points are being implemented in order to encourage attacking play throughout a game and to reward teams for "coming close" in losing efforts.</w:t>
      </w:r>
    </w:p>
    <w:p w14:paraId="22D5DD2D" w14:textId="77777777" w:rsidR="00FB2C82" w:rsidRDefault="00FB2C82" w:rsidP="006E3894">
      <w:pPr>
        <w:numPr>
          <w:ilvl w:val="2"/>
          <w:numId w:val="1"/>
        </w:numPr>
        <w:spacing w:after="120" w:line="240" w:lineRule="auto"/>
        <w:contextualSpacing/>
        <w:rPr>
          <w:rFonts w:ascii="Arial Narrow" w:eastAsia="Calibri" w:hAnsi="Arial Narrow" w:cs="Times New Roman"/>
          <w:sz w:val="18"/>
        </w:rPr>
      </w:pPr>
      <w:r>
        <w:rPr>
          <w:rFonts w:ascii="Arial Narrow" w:eastAsia="Calibri" w:hAnsi="Arial Narrow" w:cs="Times New Roman"/>
          <w:sz w:val="18"/>
        </w:rPr>
        <w:t>3 points for a win.</w:t>
      </w:r>
    </w:p>
    <w:p w14:paraId="681E62FC" w14:textId="65671260"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2 points for winning a game</w:t>
      </w:r>
      <w:r w:rsidR="006E3894">
        <w:rPr>
          <w:rFonts w:ascii="Arial Narrow" w:eastAsia="Calibri" w:hAnsi="Arial Narrow" w:cs="Times New Roman"/>
          <w:sz w:val="18"/>
        </w:rPr>
        <w:t xml:space="preserve"> in overtime.</w:t>
      </w:r>
    </w:p>
    <w:p w14:paraId="70C85428" w14:textId="50596E9E"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1</w:t>
      </w:r>
      <w:r w:rsidR="00DD43BF">
        <w:rPr>
          <w:rFonts w:ascii="Arial Narrow" w:eastAsia="Calibri" w:hAnsi="Arial Narrow" w:cs="Times New Roman"/>
          <w:sz w:val="18"/>
        </w:rPr>
        <w:t xml:space="preserve">.5 </w:t>
      </w:r>
      <w:r w:rsidRPr="002A7A0C">
        <w:rPr>
          <w:rFonts w:ascii="Arial Narrow" w:eastAsia="Calibri" w:hAnsi="Arial Narrow" w:cs="Times New Roman"/>
          <w:sz w:val="18"/>
        </w:rPr>
        <w:t>point</w:t>
      </w:r>
      <w:r w:rsidR="00DD43BF">
        <w:rPr>
          <w:rFonts w:ascii="Arial Narrow" w:eastAsia="Calibri" w:hAnsi="Arial Narrow" w:cs="Times New Roman"/>
          <w:sz w:val="18"/>
        </w:rPr>
        <w:t>s</w:t>
      </w:r>
      <w:r w:rsidRPr="002A7A0C">
        <w:rPr>
          <w:rFonts w:ascii="Arial Narrow" w:eastAsia="Calibri" w:hAnsi="Arial Narrow" w:cs="Times New Roman"/>
          <w:sz w:val="18"/>
        </w:rPr>
        <w:t xml:space="preserve"> for drawing a game</w:t>
      </w:r>
      <w:r w:rsidR="00FB2C82">
        <w:rPr>
          <w:rFonts w:ascii="Arial Narrow" w:eastAsia="Calibri" w:hAnsi="Arial Narrow" w:cs="Times New Roman"/>
          <w:sz w:val="18"/>
        </w:rPr>
        <w:t>.</w:t>
      </w:r>
    </w:p>
    <w:p w14:paraId="505170FA" w14:textId="4FE6CBE0"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0 points for losing a game</w:t>
      </w:r>
      <w:r w:rsidR="00FB2C82">
        <w:rPr>
          <w:rFonts w:ascii="Arial Narrow" w:eastAsia="Calibri" w:hAnsi="Arial Narrow" w:cs="Times New Roman"/>
          <w:sz w:val="18"/>
        </w:rPr>
        <w:t>.</w:t>
      </w:r>
    </w:p>
    <w:p w14:paraId="5F67F6C4" w14:textId="77777777"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.5 bonus point for losing by 10 points (or fewer) or in overtime.</w:t>
      </w:r>
    </w:p>
    <w:p w14:paraId="3272B623" w14:textId="61AA1061" w:rsidR="003F109F" w:rsidRDefault="003F109F" w:rsidP="00701A45">
      <w:pPr>
        <w:numPr>
          <w:ilvl w:val="2"/>
          <w:numId w:val="1"/>
        </w:numPr>
        <w:spacing w:after="0" w:line="240" w:lineRule="auto"/>
        <w:rPr>
          <w:rFonts w:ascii="Arial Narrow" w:eastAsia="Calibri" w:hAnsi="Arial Narrow" w:cs="Times New Roman"/>
          <w:sz w:val="18"/>
        </w:rPr>
      </w:pPr>
      <w:r w:rsidRPr="002A7A0C">
        <w:rPr>
          <w:rFonts w:ascii="Arial Narrow" w:eastAsia="Calibri" w:hAnsi="Arial Narrow" w:cs="Times New Roman"/>
          <w:sz w:val="18"/>
        </w:rPr>
        <w:t xml:space="preserve">.5 bonus point for scoring at least </w:t>
      </w:r>
      <w:r w:rsidR="006E3894">
        <w:rPr>
          <w:rFonts w:ascii="Arial Narrow" w:eastAsia="Calibri" w:hAnsi="Arial Narrow" w:cs="Times New Roman"/>
          <w:sz w:val="18"/>
        </w:rPr>
        <w:t>100</w:t>
      </w:r>
      <w:r w:rsidRPr="002A7A0C">
        <w:rPr>
          <w:rFonts w:ascii="Arial Narrow" w:eastAsia="Calibri" w:hAnsi="Arial Narrow" w:cs="Times New Roman"/>
          <w:sz w:val="18"/>
        </w:rPr>
        <w:t xml:space="preserve"> points.</w:t>
      </w:r>
    </w:p>
    <w:p w14:paraId="6A8CA0C8" w14:textId="47DF05C6" w:rsidR="00701A45" w:rsidRPr="00701A45" w:rsidRDefault="00701A45" w:rsidP="00701A45">
      <w:pPr>
        <w:pStyle w:val="ListParagraph"/>
        <w:numPr>
          <w:ilvl w:val="2"/>
          <w:numId w:val="1"/>
        </w:numPr>
        <w:rPr>
          <w:rFonts w:ascii="Arial Narrow" w:eastAsia="Calibri" w:hAnsi="Arial Narrow" w:cs="Times New Roman"/>
          <w:sz w:val="18"/>
        </w:rPr>
      </w:pPr>
      <w:r w:rsidRPr="00701A45">
        <w:rPr>
          <w:rFonts w:ascii="Arial Narrow" w:eastAsia="Calibri" w:hAnsi="Arial Narrow" w:cs="Times New Roman"/>
          <w:sz w:val="18"/>
        </w:rPr>
        <w:t>All teams can only have a max of 2 bonus points per game.</w:t>
      </w:r>
    </w:p>
    <w:p w14:paraId="75C23CFF" w14:textId="79EE3EA3" w:rsidR="003F109F" w:rsidRPr="002A7A0C" w:rsidRDefault="003F109F" w:rsidP="006E389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At the end of the regular</w:t>
      </w:r>
      <w:r w:rsidR="000F7F5B">
        <w:rPr>
          <w:rFonts w:ascii="Arial Narrow" w:eastAsia="Calibri" w:hAnsi="Arial Narrow" w:cs="Times New Roman"/>
          <w:sz w:val="20"/>
        </w:rPr>
        <w:t>-</w:t>
      </w:r>
      <w:r w:rsidRPr="002A7A0C">
        <w:rPr>
          <w:rFonts w:ascii="Arial Narrow" w:eastAsia="Calibri" w:hAnsi="Arial Narrow" w:cs="Times New Roman"/>
          <w:sz w:val="20"/>
        </w:rPr>
        <w:t>season, the team with the best regular season record is awarded the Supporters' Shield (It echoes the practice of the top European soccer leagues in which the team with the best record is the champion).</w:t>
      </w:r>
    </w:p>
    <w:p w14:paraId="37AAEC23" w14:textId="2E2FE88E" w:rsidR="003F109F" w:rsidRPr="002A7A0C" w:rsidRDefault="003F109F" w:rsidP="006E3894">
      <w:pPr>
        <w:numPr>
          <w:ilvl w:val="1"/>
          <w:numId w:val="1"/>
        </w:numPr>
        <w:spacing w:after="120" w:line="240" w:lineRule="auto"/>
        <w:rPr>
          <w:rFonts w:ascii="Arial Narrow" w:eastAsia="Calibri" w:hAnsi="Arial Narrow" w:cs="Times New Roman"/>
          <w:i/>
          <w:sz w:val="20"/>
          <w:u w:val="single"/>
        </w:rPr>
      </w:pPr>
      <w:r w:rsidRPr="002A7A0C">
        <w:rPr>
          <w:rFonts w:ascii="Arial Narrow" w:eastAsia="Calibri" w:hAnsi="Arial Narrow" w:cs="Times New Roman"/>
          <w:i/>
          <w:sz w:val="20"/>
          <w:u w:val="single"/>
        </w:rPr>
        <w:t>Order of Season (# of Games):</w:t>
      </w:r>
    </w:p>
    <w:p w14:paraId="3331CAF7" w14:textId="4A0C57F6"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proofErr w:type="spellStart"/>
      <w:r w:rsidRPr="002A7A0C">
        <w:rPr>
          <w:rFonts w:ascii="Arial Narrow" w:eastAsia="Calibri" w:hAnsi="Arial Narrow" w:cs="Times New Roman"/>
          <w:sz w:val="18"/>
        </w:rPr>
        <w:t>EuroLeague</w:t>
      </w:r>
      <w:proofErr w:type="spellEnd"/>
      <w:r w:rsidRPr="002A7A0C">
        <w:rPr>
          <w:rFonts w:ascii="Arial Narrow" w:eastAsia="Calibri" w:hAnsi="Arial Narrow" w:cs="Times New Roman"/>
          <w:sz w:val="18"/>
        </w:rPr>
        <w:t xml:space="preserve"> preseason / international crossover (</w:t>
      </w:r>
      <w:r w:rsidR="008A7AEF" w:rsidRPr="002A7A0C">
        <w:rPr>
          <w:rFonts w:ascii="Arial Narrow" w:eastAsia="Calibri" w:hAnsi="Arial Narrow" w:cs="Times New Roman"/>
          <w:sz w:val="18"/>
        </w:rPr>
        <w:t>6</w:t>
      </w:r>
      <w:r w:rsidRPr="002A7A0C">
        <w:rPr>
          <w:rFonts w:ascii="Arial Narrow" w:eastAsia="Calibri" w:hAnsi="Arial Narrow" w:cs="Times New Roman"/>
          <w:sz w:val="18"/>
        </w:rPr>
        <w:t>)</w:t>
      </w:r>
    </w:p>
    <w:p w14:paraId="18442DD0" w14:textId="1BE4A410"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proofErr w:type="spellStart"/>
      <w:r w:rsidRPr="002A7A0C">
        <w:rPr>
          <w:rFonts w:ascii="Arial Narrow" w:eastAsia="Calibri" w:hAnsi="Arial Narrow" w:cs="Times New Roman"/>
          <w:sz w:val="18"/>
        </w:rPr>
        <w:t>EuroLeague</w:t>
      </w:r>
      <w:proofErr w:type="spellEnd"/>
      <w:r w:rsidRPr="002A7A0C">
        <w:rPr>
          <w:rFonts w:ascii="Arial Narrow" w:eastAsia="Calibri" w:hAnsi="Arial Narrow" w:cs="Times New Roman"/>
          <w:sz w:val="18"/>
        </w:rPr>
        <w:t xml:space="preserve"> </w:t>
      </w:r>
      <w:proofErr w:type="spellStart"/>
      <w:r w:rsidRPr="002A7A0C">
        <w:rPr>
          <w:rFonts w:ascii="Arial Narrow" w:eastAsia="Calibri" w:hAnsi="Arial Narrow" w:cs="Times New Roman"/>
          <w:sz w:val="18"/>
        </w:rPr>
        <w:t>RegularSeason</w:t>
      </w:r>
      <w:proofErr w:type="spellEnd"/>
      <w:r w:rsidRPr="002A7A0C">
        <w:rPr>
          <w:rFonts w:ascii="Arial Narrow" w:eastAsia="Calibri" w:hAnsi="Arial Narrow" w:cs="Times New Roman"/>
          <w:sz w:val="18"/>
        </w:rPr>
        <w:t xml:space="preserve"> (6</w:t>
      </w:r>
      <w:r w:rsidR="008A7AEF" w:rsidRPr="002A7A0C">
        <w:rPr>
          <w:rFonts w:ascii="Arial Narrow" w:eastAsia="Calibri" w:hAnsi="Arial Narrow" w:cs="Times New Roman"/>
          <w:sz w:val="18"/>
        </w:rPr>
        <w:t>6</w:t>
      </w:r>
      <w:r w:rsidRPr="002A7A0C">
        <w:rPr>
          <w:rFonts w:ascii="Arial Narrow" w:eastAsia="Calibri" w:hAnsi="Arial Narrow" w:cs="Times New Roman"/>
          <w:sz w:val="18"/>
        </w:rPr>
        <w:t>)</w:t>
      </w:r>
    </w:p>
    <w:p w14:paraId="0A9E545D" w14:textId="1D34660A"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proofErr w:type="spellStart"/>
      <w:r w:rsidRPr="002A7A0C">
        <w:rPr>
          <w:rFonts w:ascii="Arial Narrow" w:eastAsia="Calibri" w:hAnsi="Arial Narrow" w:cs="Times New Roman"/>
          <w:sz w:val="18"/>
        </w:rPr>
        <w:t>EuroLeague</w:t>
      </w:r>
      <w:proofErr w:type="spellEnd"/>
      <w:r w:rsidRPr="002A7A0C">
        <w:rPr>
          <w:rFonts w:ascii="Arial Narrow" w:eastAsia="Calibri" w:hAnsi="Arial Narrow" w:cs="Times New Roman"/>
          <w:sz w:val="18"/>
        </w:rPr>
        <w:t xml:space="preserve"> Postseason (9-15)</w:t>
      </w:r>
    </w:p>
    <w:p w14:paraId="7717386B" w14:textId="4EA1FD9D" w:rsidR="003F109F" w:rsidRPr="002A7A0C" w:rsidRDefault="003F109F" w:rsidP="006E3894">
      <w:pPr>
        <w:numPr>
          <w:ilvl w:val="2"/>
          <w:numId w:val="1"/>
        </w:numPr>
        <w:spacing w:after="120" w:line="240" w:lineRule="auto"/>
        <w:contextualSpacing/>
        <w:rPr>
          <w:rFonts w:ascii="Arial Narrow" w:eastAsia="Calibri" w:hAnsi="Arial Narrow" w:cs="Times New Roman"/>
          <w:sz w:val="18"/>
        </w:rPr>
      </w:pPr>
      <w:r w:rsidRPr="002A7A0C">
        <w:rPr>
          <w:rFonts w:ascii="Arial Narrow" w:eastAsia="Calibri" w:hAnsi="Arial Narrow" w:cs="Times New Roman"/>
          <w:sz w:val="18"/>
        </w:rPr>
        <w:t>FIBA Intercontinental Cup (5)</w:t>
      </w:r>
    </w:p>
    <w:p w14:paraId="50DC4965" w14:textId="3E38E177" w:rsidR="003F109F" w:rsidRPr="002A7A0C" w:rsidRDefault="00D951D8" w:rsidP="006E3894">
      <w:pPr>
        <w:numPr>
          <w:ilvl w:val="2"/>
          <w:numId w:val="1"/>
        </w:numPr>
        <w:spacing w:after="120" w:line="240" w:lineRule="auto"/>
        <w:rPr>
          <w:rFonts w:ascii="Arial Narrow" w:eastAsia="Calibri" w:hAnsi="Arial Narrow" w:cs="Times New Roman"/>
          <w:sz w:val="18"/>
        </w:rPr>
      </w:pPr>
      <w:r>
        <w:rPr>
          <w:rFonts w:ascii="Arial Narrow" w:eastAsia="Calibri" w:hAnsi="Arial Narrow" w:cs="Times New Roman"/>
          <w:b/>
          <w:iCs/>
          <w:noProof/>
        </w:rPr>
        <w:drawing>
          <wp:anchor distT="0" distB="0" distL="114300" distR="114300" simplePos="0" relativeHeight="251658240" behindDoc="0" locked="0" layoutInCell="1" allowOverlap="1" wp14:anchorId="075AD57F" wp14:editId="1F815F5E">
            <wp:simplePos x="0" y="0"/>
            <wp:positionH relativeFrom="column">
              <wp:posOffset>2638425</wp:posOffset>
            </wp:positionH>
            <wp:positionV relativeFrom="paragraph">
              <wp:posOffset>49530</wp:posOffset>
            </wp:positionV>
            <wp:extent cx="4261485" cy="281686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1485" cy="2816860"/>
                    </a:xfrm>
                    <a:prstGeom prst="rect">
                      <a:avLst/>
                    </a:prstGeom>
                    <a:noFill/>
                  </pic:spPr>
                </pic:pic>
              </a:graphicData>
            </a:graphic>
            <wp14:sizeRelH relativeFrom="page">
              <wp14:pctWidth>0</wp14:pctWidth>
            </wp14:sizeRelH>
            <wp14:sizeRelV relativeFrom="page">
              <wp14:pctHeight>0</wp14:pctHeight>
            </wp14:sizeRelV>
          </wp:anchor>
        </w:drawing>
      </w:r>
      <w:r w:rsidR="00E62B6D" w:rsidRPr="002A7A0C">
        <w:rPr>
          <w:rFonts w:ascii="Arial Narrow" w:eastAsia="Calibri" w:hAnsi="Arial Narrow" w:cs="Times New Roman"/>
          <w:sz w:val="18"/>
        </w:rPr>
        <w:t>Total Games = 86-92</w:t>
      </w:r>
      <w:r w:rsidR="003F109F" w:rsidRPr="002A7A0C">
        <w:rPr>
          <w:rFonts w:ascii="Arial Narrow" w:eastAsia="Calibri" w:hAnsi="Arial Narrow" w:cs="Times New Roman"/>
          <w:sz w:val="18"/>
        </w:rPr>
        <w:t>.</w:t>
      </w:r>
    </w:p>
    <w:p w14:paraId="2DF89084" w14:textId="17C4F3BC" w:rsidR="003F109F" w:rsidRPr="002A7A0C" w:rsidRDefault="003F109F" w:rsidP="006E3894">
      <w:pPr>
        <w:numPr>
          <w:ilvl w:val="0"/>
          <w:numId w:val="1"/>
        </w:numPr>
        <w:spacing w:after="120" w:line="240" w:lineRule="auto"/>
        <w:rPr>
          <w:rFonts w:ascii="Arial Narrow" w:eastAsia="Calibri" w:hAnsi="Arial Narrow" w:cs="Times New Roman"/>
          <w:b/>
        </w:rPr>
      </w:pPr>
      <w:r w:rsidRPr="002A7A0C">
        <w:rPr>
          <w:rFonts w:ascii="Arial Narrow" w:eastAsia="Calibri" w:hAnsi="Arial Narrow" w:cs="Times New Roman"/>
          <w:b/>
          <w:iCs/>
        </w:rPr>
        <w:t>The post-season is an 8-team Best-of-Series tournament:</w:t>
      </w:r>
    </w:p>
    <w:p w14:paraId="33CCF637" w14:textId="0599EBAC" w:rsidR="003F109F" w:rsidRDefault="003F109F" w:rsidP="006E389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 xml:space="preserve">The 8 teams that enter the tournament are the </w:t>
      </w:r>
      <w:r w:rsidR="0081688A" w:rsidRPr="002A7A0C">
        <w:rPr>
          <w:rFonts w:ascii="Arial Narrow" w:eastAsia="Calibri" w:hAnsi="Arial Narrow" w:cs="Times New Roman"/>
          <w:sz w:val="20"/>
        </w:rPr>
        <w:t>3</w:t>
      </w:r>
      <w:r w:rsidRPr="002A7A0C">
        <w:rPr>
          <w:rFonts w:ascii="Arial Narrow" w:eastAsia="Calibri" w:hAnsi="Arial Narrow" w:cs="Times New Roman"/>
          <w:sz w:val="20"/>
        </w:rPr>
        <w:t xml:space="preserve"> division champions</w:t>
      </w:r>
      <w:r w:rsidR="0081688A" w:rsidRPr="002A7A0C">
        <w:rPr>
          <w:rFonts w:ascii="Arial Narrow" w:eastAsia="Calibri" w:hAnsi="Arial Narrow" w:cs="Times New Roman"/>
          <w:sz w:val="20"/>
        </w:rPr>
        <w:t xml:space="preserve"> and 1 wild card per conference</w:t>
      </w:r>
      <w:r w:rsidRPr="002A7A0C">
        <w:rPr>
          <w:rFonts w:ascii="Arial Narrow" w:eastAsia="Calibri" w:hAnsi="Arial Narrow" w:cs="Times New Roman"/>
          <w:sz w:val="20"/>
        </w:rPr>
        <w:t>.</w:t>
      </w:r>
    </w:p>
    <w:p w14:paraId="37A8A408" w14:textId="62E4E4C9" w:rsidR="000F7F5B" w:rsidRPr="000F7F5B" w:rsidRDefault="000F7F5B" w:rsidP="006E3894">
      <w:pPr>
        <w:numPr>
          <w:ilvl w:val="1"/>
          <w:numId w:val="1"/>
        </w:numPr>
        <w:spacing w:after="120" w:line="240" w:lineRule="auto"/>
        <w:rPr>
          <w:rFonts w:ascii="Arial Narrow" w:eastAsia="Calibri" w:hAnsi="Arial Narrow" w:cs="Times New Roman"/>
          <w:sz w:val="20"/>
        </w:rPr>
      </w:pPr>
      <w:r w:rsidRPr="002A7A0C">
        <w:rPr>
          <w:rFonts w:ascii="Arial Narrow" w:eastAsia="Calibri" w:hAnsi="Arial Narrow" w:cs="Times New Roman"/>
          <w:sz w:val="20"/>
        </w:rPr>
        <w:t>There must be a 3-day break in-between the end of the regular-season and the start of the postseason.</w:t>
      </w:r>
    </w:p>
    <w:p w14:paraId="590E62C9" w14:textId="3F73B910" w:rsidR="005241E9" w:rsidRPr="002A7A0C" w:rsidRDefault="005241E9" w:rsidP="006E3894">
      <w:pPr>
        <w:numPr>
          <w:ilvl w:val="1"/>
          <w:numId w:val="1"/>
        </w:numPr>
        <w:spacing w:after="120" w:line="240" w:lineRule="auto"/>
        <w:rPr>
          <w:rFonts w:ascii="Arial Narrow" w:hAnsi="Arial Narrow"/>
          <w:i/>
          <w:sz w:val="20"/>
          <w:u w:val="single"/>
        </w:rPr>
      </w:pPr>
      <w:r w:rsidRPr="002A7A0C">
        <w:rPr>
          <w:rFonts w:ascii="Arial Narrow" w:hAnsi="Arial Narrow"/>
          <w:i/>
          <w:sz w:val="20"/>
          <w:u w:val="single"/>
        </w:rPr>
        <w:t>The 1</w:t>
      </w:r>
      <w:r w:rsidRPr="002A7A0C">
        <w:rPr>
          <w:rFonts w:ascii="Arial Narrow" w:hAnsi="Arial Narrow"/>
          <w:i/>
          <w:sz w:val="20"/>
          <w:u w:val="single"/>
          <w:vertAlign w:val="superscript"/>
        </w:rPr>
        <w:t>st</w:t>
      </w:r>
      <w:r w:rsidRPr="002A7A0C">
        <w:rPr>
          <w:rFonts w:ascii="Arial Narrow" w:hAnsi="Arial Narrow"/>
          <w:i/>
          <w:sz w:val="20"/>
          <w:u w:val="single"/>
        </w:rPr>
        <w:t xml:space="preserve"> Round </w:t>
      </w:r>
      <w:r w:rsidRPr="002A7A0C">
        <w:rPr>
          <w:rFonts w:ascii="Arial Narrow" w:hAnsi="Arial Narrow"/>
          <w:i/>
          <w:sz w:val="18"/>
          <w:u w:val="single"/>
        </w:rPr>
        <w:t>(Conference Semifinals)</w:t>
      </w:r>
      <w:r w:rsidRPr="002A7A0C">
        <w:rPr>
          <w:rFonts w:ascii="Arial Narrow" w:hAnsi="Arial Narrow"/>
          <w:i/>
          <w:sz w:val="20"/>
          <w:u w:val="single"/>
        </w:rPr>
        <w:t>:</w:t>
      </w:r>
    </w:p>
    <w:p w14:paraId="17F0ABD0" w14:textId="435F6915" w:rsidR="005241E9" w:rsidRPr="002A7A0C" w:rsidRDefault="005241E9" w:rsidP="00D951D8">
      <w:pPr>
        <w:numPr>
          <w:ilvl w:val="2"/>
          <w:numId w:val="1"/>
        </w:numPr>
        <w:spacing w:after="120" w:line="240" w:lineRule="auto"/>
        <w:rPr>
          <w:rFonts w:ascii="Arial Narrow" w:hAnsi="Arial Narrow"/>
          <w:sz w:val="18"/>
        </w:rPr>
      </w:pPr>
      <w:r w:rsidRPr="002A7A0C">
        <w:rPr>
          <w:rFonts w:ascii="Arial Narrow" w:hAnsi="Arial Narrow"/>
          <w:sz w:val="18"/>
        </w:rPr>
        <w:t xml:space="preserve">The </w:t>
      </w:r>
      <w:r w:rsidR="006E3894">
        <w:rPr>
          <w:rFonts w:ascii="Arial Narrow" w:hAnsi="Arial Narrow"/>
          <w:sz w:val="18"/>
        </w:rPr>
        <w:t xml:space="preserve">first-round </w:t>
      </w:r>
      <w:r w:rsidRPr="002A7A0C">
        <w:rPr>
          <w:rFonts w:ascii="Arial Narrow" w:hAnsi="Arial Narrow"/>
          <w:sz w:val="18"/>
        </w:rPr>
        <w:t xml:space="preserve">format is </w:t>
      </w:r>
      <w:r w:rsidR="00D951D8">
        <w:rPr>
          <w:rFonts w:ascii="Arial Narrow" w:hAnsi="Arial Narrow"/>
          <w:sz w:val="18"/>
        </w:rPr>
        <w:t>1v4 &amp; 2v3.</w:t>
      </w:r>
    </w:p>
    <w:p w14:paraId="06FC0888" w14:textId="16494C47" w:rsidR="00D32D95" w:rsidRPr="002A7A0C" w:rsidRDefault="005241E9" w:rsidP="00D951D8">
      <w:pPr>
        <w:pStyle w:val="ListParagraph"/>
        <w:numPr>
          <w:ilvl w:val="2"/>
          <w:numId w:val="1"/>
        </w:numPr>
        <w:spacing w:after="120" w:line="240" w:lineRule="auto"/>
        <w:contextualSpacing w:val="0"/>
        <w:rPr>
          <w:rFonts w:ascii="Arial Narrow" w:hAnsi="Arial Narrow"/>
          <w:sz w:val="18"/>
        </w:rPr>
      </w:pPr>
      <w:r w:rsidRPr="002A7A0C">
        <w:rPr>
          <w:rFonts w:ascii="Arial Narrow" w:hAnsi="Arial Narrow"/>
          <w:sz w:val="18"/>
        </w:rPr>
        <w:lastRenderedPageBreak/>
        <w:t xml:space="preserve">The first round is a 2-of-3 series </w:t>
      </w:r>
      <w:r w:rsidR="00D32D95" w:rsidRPr="002A7A0C">
        <w:rPr>
          <w:rFonts w:ascii="Arial Narrow" w:hAnsi="Arial Narrow"/>
          <w:sz w:val="18"/>
        </w:rPr>
        <w:t>in a 1-1-1 format.</w:t>
      </w:r>
    </w:p>
    <w:p w14:paraId="0DE00534" w14:textId="4F36C2F3" w:rsidR="005241E9" w:rsidRPr="002A7A0C" w:rsidRDefault="005241E9" w:rsidP="006E3894">
      <w:pPr>
        <w:numPr>
          <w:ilvl w:val="1"/>
          <w:numId w:val="1"/>
        </w:numPr>
        <w:spacing w:after="120" w:line="240" w:lineRule="auto"/>
        <w:rPr>
          <w:rFonts w:ascii="Arial Narrow" w:hAnsi="Arial Narrow"/>
          <w:i/>
          <w:sz w:val="20"/>
          <w:u w:val="single"/>
        </w:rPr>
      </w:pPr>
      <w:r w:rsidRPr="002A7A0C">
        <w:rPr>
          <w:rFonts w:ascii="Arial Narrow" w:hAnsi="Arial Narrow"/>
          <w:i/>
          <w:sz w:val="20"/>
          <w:u w:val="single"/>
        </w:rPr>
        <w:t>The 2</w:t>
      </w:r>
      <w:r w:rsidRPr="002A7A0C">
        <w:rPr>
          <w:rFonts w:ascii="Arial Narrow" w:hAnsi="Arial Narrow"/>
          <w:i/>
          <w:sz w:val="20"/>
          <w:u w:val="single"/>
          <w:vertAlign w:val="superscript"/>
        </w:rPr>
        <w:t>nd</w:t>
      </w:r>
      <w:r w:rsidRPr="002A7A0C">
        <w:rPr>
          <w:rFonts w:ascii="Arial Narrow" w:hAnsi="Arial Narrow"/>
          <w:i/>
          <w:sz w:val="20"/>
          <w:u w:val="single"/>
        </w:rPr>
        <w:t xml:space="preserve"> Round (Conference Finals):</w:t>
      </w:r>
    </w:p>
    <w:p w14:paraId="7F8ADE2E" w14:textId="0F44C266" w:rsidR="004F2B05" w:rsidRPr="002A7A0C" w:rsidRDefault="005241E9" w:rsidP="006E3894">
      <w:pPr>
        <w:numPr>
          <w:ilvl w:val="2"/>
          <w:numId w:val="1"/>
        </w:numPr>
        <w:spacing w:after="120" w:line="240" w:lineRule="auto"/>
        <w:rPr>
          <w:rFonts w:ascii="Arial Narrow" w:hAnsi="Arial Narrow"/>
          <w:sz w:val="18"/>
        </w:rPr>
      </w:pPr>
      <w:r w:rsidRPr="002A7A0C">
        <w:rPr>
          <w:rFonts w:ascii="Arial Narrow" w:hAnsi="Arial Narrow"/>
          <w:sz w:val="18"/>
        </w:rPr>
        <w:t>The second round is a 3-of-5 series</w:t>
      </w:r>
      <w:r w:rsidR="00D32D95" w:rsidRPr="002A7A0C">
        <w:rPr>
          <w:rFonts w:ascii="Arial Narrow" w:hAnsi="Arial Narrow"/>
          <w:sz w:val="18"/>
        </w:rPr>
        <w:t xml:space="preserve"> in a 2-2-1 format</w:t>
      </w:r>
      <w:r w:rsidRPr="002A7A0C">
        <w:rPr>
          <w:rFonts w:ascii="Arial Narrow" w:hAnsi="Arial Narrow"/>
          <w:sz w:val="18"/>
        </w:rPr>
        <w:t>.</w:t>
      </w:r>
    </w:p>
    <w:p w14:paraId="0D7A8286" w14:textId="3164D840" w:rsidR="005241E9" w:rsidRPr="002A7A0C" w:rsidRDefault="005241E9" w:rsidP="006E3894">
      <w:pPr>
        <w:numPr>
          <w:ilvl w:val="1"/>
          <w:numId w:val="1"/>
        </w:numPr>
        <w:spacing w:after="120" w:line="240" w:lineRule="auto"/>
        <w:rPr>
          <w:rFonts w:ascii="Arial Narrow" w:hAnsi="Arial Narrow"/>
          <w:i/>
          <w:sz w:val="20"/>
          <w:u w:val="single"/>
        </w:rPr>
      </w:pPr>
      <w:r w:rsidRPr="002A7A0C">
        <w:rPr>
          <w:rFonts w:ascii="Arial Narrow" w:hAnsi="Arial Narrow"/>
          <w:i/>
          <w:sz w:val="20"/>
          <w:u w:val="single"/>
        </w:rPr>
        <w:t xml:space="preserve">The </w:t>
      </w:r>
      <w:proofErr w:type="spellStart"/>
      <w:r w:rsidRPr="002A7A0C">
        <w:rPr>
          <w:rFonts w:ascii="Arial Narrow" w:hAnsi="Arial Narrow"/>
          <w:i/>
          <w:sz w:val="20"/>
          <w:u w:val="single"/>
        </w:rPr>
        <w:t>EuroLeague</w:t>
      </w:r>
      <w:proofErr w:type="spellEnd"/>
      <w:r w:rsidRPr="002A7A0C">
        <w:rPr>
          <w:rFonts w:ascii="Arial Narrow" w:hAnsi="Arial Narrow"/>
          <w:i/>
          <w:sz w:val="20"/>
          <w:u w:val="single"/>
        </w:rPr>
        <w:t xml:space="preserve"> Championship:</w:t>
      </w:r>
    </w:p>
    <w:p w14:paraId="2FEE133E" w14:textId="66E49365" w:rsidR="005241E9" w:rsidRPr="002A7A0C" w:rsidRDefault="005241E9" w:rsidP="006E3894">
      <w:pPr>
        <w:numPr>
          <w:ilvl w:val="2"/>
          <w:numId w:val="1"/>
        </w:numPr>
        <w:spacing w:after="120" w:line="240" w:lineRule="auto"/>
        <w:contextualSpacing/>
        <w:rPr>
          <w:rFonts w:ascii="Arial Narrow" w:hAnsi="Arial Narrow"/>
          <w:sz w:val="18"/>
        </w:rPr>
      </w:pPr>
      <w:r w:rsidRPr="002A7A0C">
        <w:rPr>
          <w:rFonts w:ascii="Arial Narrow" w:hAnsi="Arial Narrow"/>
          <w:sz w:val="18"/>
        </w:rPr>
        <w:t>The final round is a 4-of-7 series</w:t>
      </w:r>
      <w:r w:rsidR="00D32D95" w:rsidRPr="002A7A0C">
        <w:rPr>
          <w:rFonts w:ascii="Arial Narrow" w:hAnsi="Arial Narrow"/>
          <w:sz w:val="18"/>
        </w:rPr>
        <w:t xml:space="preserve"> in a 2-2-1-1-1</w:t>
      </w:r>
      <w:r w:rsidR="004F2B05" w:rsidRPr="002A7A0C">
        <w:rPr>
          <w:rFonts w:ascii="Arial Narrow" w:hAnsi="Arial Narrow"/>
          <w:sz w:val="18"/>
        </w:rPr>
        <w:t xml:space="preserve"> format</w:t>
      </w:r>
      <w:r w:rsidRPr="002A7A0C">
        <w:rPr>
          <w:rFonts w:ascii="Arial Narrow" w:hAnsi="Arial Narrow"/>
          <w:sz w:val="18"/>
        </w:rPr>
        <w:t>.</w:t>
      </w:r>
    </w:p>
    <w:p w14:paraId="5B64ECB7" w14:textId="70B7105E" w:rsidR="004B0CBD" w:rsidRPr="002A7A0C" w:rsidRDefault="005241E9" w:rsidP="006E3894">
      <w:pPr>
        <w:numPr>
          <w:ilvl w:val="2"/>
          <w:numId w:val="1"/>
        </w:numPr>
        <w:spacing w:after="120" w:line="240" w:lineRule="auto"/>
        <w:contextualSpacing/>
        <w:rPr>
          <w:rFonts w:ascii="Arial Narrow" w:hAnsi="Arial Narrow"/>
          <w:sz w:val="18"/>
        </w:rPr>
      </w:pPr>
      <w:r w:rsidRPr="002A7A0C">
        <w:rPr>
          <w:rFonts w:ascii="Arial Narrow" w:hAnsi="Arial Narrow"/>
          <w:sz w:val="18"/>
        </w:rPr>
        <w:t>The</w:t>
      </w:r>
      <w:r w:rsidR="004B0CBD" w:rsidRPr="002A7A0C">
        <w:rPr>
          <w:rFonts w:ascii="Arial Narrow" w:hAnsi="Arial Narrow"/>
          <w:sz w:val="18"/>
        </w:rPr>
        <w:t xml:space="preserve"> team </w:t>
      </w:r>
      <w:r w:rsidR="008A7AEF" w:rsidRPr="002A7A0C">
        <w:rPr>
          <w:rFonts w:ascii="Arial Narrow" w:hAnsi="Arial Narrow"/>
          <w:sz w:val="18"/>
        </w:rPr>
        <w:t xml:space="preserve">that won the coin toss </w:t>
      </w:r>
      <w:r w:rsidR="004B0CBD" w:rsidRPr="002A7A0C">
        <w:rPr>
          <w:rFonts w:ascii="Arial Narrow" w:hAnsi="Arial Narrow"/>
          <w:sz w:val="18"/>
        </w:rPr>
        <w:t>hosts the first 2 games.</w:t>
      </w:r>
    </w:p>
    <w:p w14:paraId="23493F60" w14:textId="70B29DF1" w:rsidR="006E3894" w:rsidRPr="000771F3" w:rsidRDefault="004B0CBD" w:rsidP="000771F3">
      <w:pPr>
        <w:numPr>
          <w:ilvl w:val="2"/>
          <w:numId w:val="1"/>
        </w:numPr>
        <w:spacing w:after="120" w:line="240" w:lineRule="auto"/>
        <w:rPr>
          <w:rFonts w:ascii="Arial Narrow" w:hAnsi="Arial Narrow"/>
          <w:sz w:val="18"/>
        </w:rPr>
      </w:pPr>
      <w:r w:rsidRPr="002A7A0C">
        <w:rPr>
          <w:rFonts w:ascii="Arial Narrow" w:hAnsi="Arial Narrow"/>
          <w:sz w:val="18"/>
        </w:rPr>
        <w:t>T</w:t>
      </w:r>
      <w:r w:rsidR="005241E9" w:rsidRPr="002A7A0C">
        <w:rPr>
          <w:rFonts w:ascii="Arial Narrow" w:hAnsi="Arial Narrow"/>
          <w:sz w:val="18"/>
        </w:rPr>
        <w:t xml:space="preserve">he </w:t>
      </w:r>
      <w:r w:rsidR="008A7AEF" w:rsidRPr="002A7A0C">
        <w:rPr>
          <w:rFonts w:ascii="Arial Narrow" w:hAnsi="Arial Narrow"/>
          <w:sz w:val="18"/>
        </w:rPr>
        <w:t>other</w:t>
      </w:r>
      <w:r w:rsidR="005241E9" w:rsidRPr="002A7A0C">
        <w:rPr>
          <w:rFonts w:ascii="Arial Narrow" w:hAnsi="Arial Narrow"/>
          <w:sz w:val="18"/>
        </w:rPr>
        <w:t xml:space="preserve"> team hosts the second 2 games, and the teams alternate between the final 3 games.</w:t>
      </w:r>
    </w:p>
    <w:p w14:paraId="4E71F49D" w14:textId="77777777" w:rsidR="003F109F" w:rsidRPr="002A7A0C" w:rsidRDefault="003F109F" w:rsidP="003F109F">
      <w:pPr>
        <w:numPr>
          <w:ilvl w:val="0"/>
          <w:numId w:val="1"/>
        </w:numPr>
        <w:rPr>
          <w:rFonts w:ascii="Arial Narrow" w:eastAsia="Calibri" w:hAnsi="Arial Narrow" w:cs="Times New Roman"/>
          <w:b/>
        </w:rPr>
      </w:pPr>
      <w:r w:rsidRPr="002A7A0C">
        <w:rPr>
          <w:rFonts w:ascii="Arial Narrow" w:eastAsia="Calibri" w:hAnsi="Arial Narrow" w:cs="Times New Roman"/>
          <w:b/>
          <w:iCs/>
        </w:rPr>
        <w:t>A coin toss will determine which team gets more home games during each series, unless they win the rights to more games twice in a row:</w:t>
      </w:r>
    </w:p>
    <w:p w14:paraId="04C1F97D" w14:textId="77777777" w:rsidR="003F109F" w:rsidRPr="002A7A0C" w:rsidRDefault="003F109F" w:rsidP="003F109F">
      <w:pPr>
        <w:numPr>
          <w:ilvl w:val="1"/>
          <w:numId w:val="1"/>
        </w:numPr>
        <w:contextualSpacing/>
        <w:rPr>
          <w:rFonts w:ascii="Arial Narrow" w:eastAsia="Calibri" w:hAnsi="Arial Narrow" w:cs="Times New Roman"/>
          <w:sz w:val="20"/>
        </w:rPr>
      </w:pPr>
      <w:r w:rsidRPr="002A7A0C">
        <w:rPr>
          <w:rFonts w:ascii="Arial Narrow" w:eastAsia="Calibri" w:hAnsi="Arial Narrow" w:cs="Times New Roman"/>
          <w:sz w:val="20"/>
        </w:rPr>
        <w:t>Team #1 = more home games / Team #2 = less home games.</w:t>
      </w:r>
    </w:p>
    <w:p w14:paraId="208CEAB5" w14:textId="77777777" w:rsidR="003F109F" w:rsidRPr="002A7A0C" w:rsidRDefault="003F109F" w:rsidP="003F109F">
      <w:pPr>
        <w:numPr>
          <w:ilvl w:val="1"/>
          <w:numId w:val="1"/>
        </w:numPr>
        <w:contextualSpacing/>
        <w:rPr>
          <w:rFonts w:ascii="Arial Narrow" w:eastAsia="Calibri" w:hAnsi="Arial Narrow" w:cs="Times New Roman"/>
          <w:sz w:val="20"/>
        </w:rPr>
      </w:pPr>
      <w:r w:rsidRPr="002A7A0C">
        <w:rPr>
          <w:rFonts w:ascii="Arial Narrow" w:eastAsia="Calibri" w:hAnsi="Arial Narrow" w:cs="Times New Roman"/>
          <w:sz w:val="20"/>
        </w:rPr>
        <w:t>2-of-3 &amp; 3-of-5 = Both Teams alternate between hosting games, starting with Team #1.</w:t>
      </w:r>
    </w:p>
    <w:p w14:paraId="5914E15E" w14:textId="77777777" w:rsidR="003F109F" w:rsidRPr="002A7A0C" w:rsidRDefault="003F109F" w:rsidP="003F109F">
      <w:pPr>
        <w:numPr>
          <w:ilvl w:val="1"/>
          <w:numId w:val="1"/>
        </w:numPr>
        <w:rPr>
          <w:rFonts w:ascii="Arial Narrow" w:eastAsia="Calibri" w:hAnsi="Arial Narrow" w:cs="Times New Roman"/>
          <w:sz w:val="20"/>
        </w:rPr>
      </w:pPr>
      <w:r w:rsidRPr="002A7A0C">
        <w:rPr>
          <w:rFonts w:ascii="Arial Narrow" w:eastAsia="Calibri" w:hAnsi="Arial Narrow" w:cs="Times New Roman"/>
          <w:sz w:val="20"/>
        </w:rPr>
        <w:t>4-of-7 = Team #1 hosts 2 consecutive games, Team #2 hosts 2 consecutive games, then both teams alternate for the final 3 games starting with Team #1.</w:t>
      </w:r>
    </w:p>
    <w:p w14:paraId="1116B528" w14:textId="77777777" w:rsidR="003F109F" w:rsidRPr="002A7A0C" w:rsidRDefault="003F109F" w:rsidP="003F109F">
      <w:pPr>
        <w:numPr>
          <w:ilvl w:val="0"/>
          <w:numId w:val="1"/>
        </w:numPr>
        <w:rPr>
          <w:rFonts w:ascii="Arial Narrow" w:eastAsia="Calibri" w:hAnsi="Arial Narrow" w:cs="Times New Roman"/>
          <w:b/>
        </w:rPr>
      </w:pPr>
      <w:r w:rsidRPr="002A7A0C">
        <w:rPr>
          <w:rFonts w:ascii="Arial Narrow" w:eastAsia="Calibri" w:hAnsi="Arial Narrow" w:cs="Times New Roman"/>
          <w:b/>
          <w:iCs/>
        </w:rPr>
        <w:t xml:space="preserve">1 week after the </w:t>
      </w:r>
      <w:r w:rsidR="00FE543F" w:rsidRPr="002A7A0C">
        <w:rPr>
          <w:rFonts w:ascii="Arial Narrow" w:eastAsia="Calibri" w:hAnsi="Arial Narrow" w:cs="Times New Roman"/>
          <w:b/>
          <w:iCs/>
        </w:rPr>
        <w:t xml:space="preserve">NBA </w:t>
      </w:r>
      <w:r w:rsidRPr="002A7A0C">
        <w:rPr>
          <w:rFonts w:ascii="Arial Narrow" w:eastAsia="Calibri" w:hAnsi="Arial Narrow" w:cs="Times New Roman"/>
          <w:b/>
          <w:iCs/>
        </w:rPr>
        <w:t>Championship is the revised FIBA Intercontinental Cup in which the club champions of each of the following leagues takes part of each year:</w:t>
      </w:r>
    </w:p>
    <w:p w14:paraId="2F30897D" w14:textId="29BD43D7" w:rsidR="003F109F" w:rsidRPr="002A7A0C" w:rsidRDefault="003F109F" w:rsidP="003F109F">
      <w:pPr>
        <w:numPr>
          <w:ilvl w:val="1"/>
          <w:numId w:val="1"/>
        </w:numPr>
        <w:rPr>
          <w:rFonts w:ascii="Arial Narrow" w:eastAsia="Calibri" w:hAnsi="Arial Narrow" w:cs="Times New Roman"/>
          <w:sz w:val="20"/>
        </w:rPr>
      </w:pPr>
      <w:r w:rsidRPr="002A7A0C">
        <w:rPr>
          <w:rFonts w:ascii="Arial Narrow" w:eastAsia="Calibri" w:hAnsi="Arial Narrow" w:cs="Times New Roman"/>
          <w:sz w:val="20"/>
        </w:rPr>
        <w:t>Teams = NBA</w:t>
      </w:r>
      <w:r w:rsidR="000D0C66">
        <w:rPr>
          <w:rFonts w:ascii="Arial Narrow" w:eastAsia="Calibri" w:hAnsi="Arial Narrow" w:cs="Times New Roman"/>
          <w:sz w:val="20"/>
        </w:rPr>
        <w:t xml:space="preserve"> G-League</w:t>
      </w:r>
      <w:r w:rsidRPr="002A7A0C">
        <w:rPr>
          <w:rFonts w:ascii="Arial Narrow" w:eastAsia="Calibri" w:hAnsi="Arial Narrow" w:cs="Times New Roman"/>
          <w:sz w:val="20"/>
        </w:rPr>
        <w:t xml:space="preserve">, </w:t>
      </w:r>
      <w:proofErr w:type="spellStart"/>
      <w:r w:rsidRPr="002A7A0C">
        <w:rPr>
          <w:rFonts w:ascii="Arial Narrow" w:eastAsia="Calibri" w:hAnsi="Arial Narrow" w:cs="Times New Roman"/>
          <w:sz w:val="20"/>
        </w:rPr>
        <w:t>Euroleague</w:t>
      </w:r>
      <w:proofErr w:type="spellEnd"/>
      <w:r w:rsidRPr="002A7A0C">
        <w:rPr>
          <w:rFonts w:ascii="Arial Narrow" w:eastAsia="Calibri" w:hAnsi="Arial Narrow" w:cs="Times New Roman"/>
          <w:sz w:val="20"/>
        </w:rPr>
        <w:t>, NBL Australia, FIBA Africa Clubs Champions Cup, FIBA Asia Champions Cup, and FIBA Americas League.</w:t>
      </w:r>
    </w:p>
    <w:p w14:paraId="74173E99" w14:textId="77777777" w:rsidR="003F109F" w:rsidRPr="002A7A0C" w:rsidRDefault="003F109F" w:rsidP="003F109F">
      <w:pPr>
        <w:numPr>
          <w:ilvl w:val="1"/>
          <w:numId w:val="1"/>
        </w:numPr>
        <w:rPr>
          <w:rFonts w:ascii="Arial Narrow" w:eastAsia="Calibri" w:hAnsi="Arial Narrow" w:cs="Times New Roman"/>
          <w:sz w:val="20"/>
        </w:rPr>
      </w:pPr>
      <w:r w:rsidRPr="002A7A0C">
        <w:rPr>
          <w:rFonts w:ascii="Arial Narrow" w:eastAsia="Calibri" w:hAnsi="Arial Narrow" w:cs="Times New Roman"/>
          <w:sz w:val="20"/>
        </w:rPr>
        <w:t>Each team plays all other teams once in a round-robin tournament (5 games) while the tournament is hosted by one of the 6 leagues each year in a 6-year rotating format; all teams must have a 2-day break in between games.</w:t>
      </w:r>
    </w:p>
    <w:p w14:paraId="79C8C0D3" w14:textId="0DF74465" w:rsidR="00D15425" w:rsidRPr="004F3A1B" w:rsidRDefault="003F109F" w:rsidP="00D413BE">
      <w:pPr>
        <w:numPr>
          <w:ilvl w:val="1"/>
          <w:numId w:val="1"/>
        </w:numPr>
        <w:rPr>
          <w:rFonts w:ascii="Arial Narrow" w:eastAsia="Calibri" w:hAnsi="Arial Narrow" w:cs="Times New Roman"/>
          <w:sz w:val="20"/>
        </w:rPr>
      </w:pPr>
      <w:r w:rsidRPr="002A7A0C">
        <w:rPr>
          <w:rFonts w:ascii="Arial Narrow" w:eastAsia="Calibri" w:hAnsi="Arial Narrow" w:cs="Times New Roman"/>
          <w:sz w:val="20"/>
        </w:rPr>
        <w:t xml:space="preserve">All host teams can play their games in their respective areas (example: </w:t>
      </w:r>
      <w:r w:rsidR="00D15425" w:rsidRPr="002A7A0C">
        <w:rPr>
          <w:rFonts w:ascii="Arial Narrow" w:eastAsia="Calibri" w:hAnsi="Arial Narrow" w:cs="Times New Roman"/>
          <w:sz w:val="20"/>
        </w:rPr>
        <w:t xml:space="preserve">Real Madrid </w:t>
      </w:r>
      <w:r w:rsidRPr="002A7A0C">
        <w:rPr>
          <w:rFonts w:ascii="Arial Narrow" w:eastAsia="Calibri" w:hAnsi="Arial Narrow" w:cs="Times New Roman"/>
          <w:sz w:val="20"/>
        </w:rPr>
        <w:t xml:space="preserve">playing all 5 games in </w:t>
      </w:r>
      <w:proofErr w:type="spellStart"/>
      <w:r w:rsidR="00D15425" w:rsidRPr="002A7A0C">
        <w:rPr>
          <w:rFonts w:ascii="Arial Narrow" w:eastAsia="Calibri" w:hAnsi="Arial Narrow" w:cs="Times New Roman"/>
          <w:sz w:val="20"/>
        </w:rPr>
        <w:t>WiZink</w:t>
      </w:r>
      <w:proofErr w:type="spellEnd"/>
      <w:r w:rsidR="00D15425" w:rsidRPr="002A7A0C">
        <w:rPr>
          <w:rFonts w:ascii="Arial Narrow" w:eastAsia="Calibri" w:hAnsi="Arial Narrow" w:cs="Times New Roman"/>
          <w:sz w:val="20"/>
        </w:rPr>
        <w:t xml:space="preserve"> Center</w:t>
      </w:r>
      <w:r w:rsidRPr="002A7A0C">
        <w:rPr>
          <w:rFonts w:ascii="Arial Narrow" w:eastAsia="Calibri" w:hAnsi="Arial Narrow" w:cs="Times New Roman"/>
          <w:sz w:val="20"/>
        </w:rPr>
        <w:t>) while the other 4 teams must rotate their games among some, i</w:t>
      </w:r>
      <w:bookmarkStart w:id="0" w:name="_GoBack"/>
      <w:bookmarkEnd w:id="0"/>
      <w:r w:rsidRPr="002A7A0C">
        <w:rPr>
          <w:rFonts w:ascii="Arial Narrow" w:eastAsia="Calibri" w:hAnsi="Arial Narrow" w:cs="Times New Roman"/>
          <w:sz w:val="20"/>
        </w:rPr>
        <w:t>f not all, of the host league's arenas.</w:t>
      </w:r>
    </w:p>
    <w:p w14:paraId="584B35B0" w14:textId="77777777" w:rsidR="0051606B" w:rsidRPr="002A7A0C" w:rsidRDefault="0051606B" w:rsidP="00911651">
      <w:pPr>
        <w:keepNext/>
        <w:keepLines/>
        <w:outlineLvl w:val="0"/>
        <w:rPr>
          <w:rFonts w:ascii="Arial Narrow" w:eastAsia="Times New Roman" w:hAnsi="Arial Narrow" w:cs="Times New Roman"/>
          <w:b/>
          <w:color w:val="2E74B5"/>
          <w:sz w:val="32"/>
          <w:szCs w:val="32"/>
        </w:rPr>
        <w:sectPr w:rsidR="0051606B" w:rsidRPr="002A7A0C" w:rsidSect="003F109F">
          <w:pgSz w:w="12240" w:h="15840"/>
          <w:pgMar w:top="720" w:right="720" w:bottom="720" w:left="720" w:header="720" w:footer="720" w:gutter="0"/>
          <w:cols w:space="720"/>
          <w:docGrid w:linePitch="360"/>
        </w:sectPr>
      </w:pPr>
    </w:p>
    <w:p w14:paraId="59714F0C" w14:textId="77777777" w:rsidR="0051606B" w:rsidRPr="002A7A0C" w:rsidRDefault="0051606B" w:rsidP="003F109F">
      <w:pPr>
        <w:rPr>
          <w:rFonts w:ascii="Arial Narrow" w:hAnsi="Arial Narrow"/>
        </w:rPr>
        <w:sectPr w:rsidR="0051606B" w:rsidRPr="002A7A0C" w:rsidSect="0051606B">
          <w:pgSz w:w="15840" w:h="12240" w:orient="landscape"/>
          <w:pgMar w:top="720" w:right="720" w:bottom="720" w:left="720" w:header="720" w:footer="720" w:gutter="0"/>
          <w:cols w:space="720"/>
          <w:docGrid w:linePitch="360"/>
        </w:sectPr>
      </w:pPr>
    </w:p>
    <w:p w14:paraId="6AF2737F" w14:textId="77777777" w:rsidR="003F109F" w:rsidRPr="002A7A0C" w:rsidRDefault="003F109F" w:rsidP="003F109F">
      <w:pPr>
        <w:rPr>
          <w:rFonts w:ascii="Arial Narrow" w:hAnsi="Arial Narrow"/>
        </w:rPr>
      </w:pPr>
    </w:p>
    <w:sectPr w:rsidR="003F109F" w:rsidRPr="002A7A0C" w:rsidSect="003F1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70597"/>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9F"/>
    <w:rsid w:val="00031601"/>
    <w:rsid w:val="000771F3"/>
    <w:rsid w:val="000B7567"/>
    <w:rsid w:val="000D0C66"/>
    <w:rsid w:val="000F7F5B"/>
    <w:rsid w:val="001A0195"/>
    <w:rsid w:val="001D5819"/>
    <w:rsid w:val="00202893"/>
    <w:rsid w:val="002A7A0C"/>
    <w:rsid w:val="00352D8F"/>
    <w:rsid w:val="003537EA"/>
    <w:rsid w:val="00397E24"/>
    <w:rsid w:val="003F109F"/>
    <w:rsid w:val="004531BE"/>
    <w:rsid w:val="00480EFE"/>
    <w:rsid w:val="00497560"/>
    <w:rsid w:val="004B0CBD"/>
    <w:rsid w:val="004F2B05"/>
    <w:rsid w:val="004F3A1B"/>
    <w:rsid w:val="005063B0"/>
    <w:rsid w:val="0051606B"/>
    <w:rsid w:val="005241E9"/>
    <w:rsid w:val="00605D53"/>
    <w:rsid w:val="006E3894"/>
    <w:rsid w:val="00701A45"/>
    <w:rsid w:val="00764957"/>
    <w:rsid w:val="00770E40"/>
    <w:rsid w:val="007A63EB"/>
    <w:rsid w:val="00801402"/>
    <w:rsid w:val="0081688A"/>
    <w:rsid w:val="0084794A"/>
    <w:rsid w:val="008A7AEF"/>
    <w:rsid w:val="00911651"/>
    <w:rsid w:val="00AC23B8"/>
    <w:rsid w:val="00B06D4A"/>
    <w:rsid w:val="00C0081E"/>
    <w:rsid w:val="00C342B3"/>
    <w:rsid w:val="00D15425"/>
    <w:rsid w:val="00D32D95"/>
    <w:rsid w:val="00D413BE"/>
    <w:rsid w:val="00D951D8"/>
    <w:rsid w:val="00DD43BF"/>
    <w:rsid w:val="00E23B30"/>
    <w:rsid w:val="00E62B6D"/>
    <w:rsid w:val="00EB4DB2"/>
    <w:rsid w:val="00FB2C82"/>
    <w:rsid w:val="00FE543F"/>
    <w:rsid w:val="00FE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3AAF"/>
  <w15:chartTrackingRefBased/>
  <w15:docId w15:val="{AF22879A-C45F-4DE6-B229-88091609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0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F109F"/>
    <w:pPr>
      <w:ind w:left="720"/>
      <w:contextualSpacing/>
    </w:pPr>
  </w:style>
  <w:style w:type="table" w:customStyle="1" w:styleId="TableGrid1">
    <w:name w:val="Table Grid1"/>
    <w:basedOn w:val="TableNormal"/>
    <w:next w:val="TableGrid"/>
    <w:uiPriority w:val="39"/>
    <w:rsid w:val="003F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94"/>
    <w:rPr>
      <w:rFonts w:ascii="Segoe UI" w:hAnsi="Segoe UI" w:cs="Segoe UI"/>
      <w:sz w:val="18"/>
      <w:szCs w:val="18"/>
    </w:rPr>
  </w:style>
  <w:style w:type="character" w:styleId="Hyperlink">
    <w:name w:val="Hyperlink"/>
    <w:basedOn w:val="DefaultParagraphFont"/>
    <w:uiPriority w:val="99"/>
    <w:unhideWhenUsed/>
    <w:rsid w:val="00D413BE"/>
    <w:rPr>
      <w:color w:val="0563C1" w:themeColor="hyperlink"/>
      <w:u w:val="single"/>
    </w:rPr>
  </w:style>
  <w:style w:type="character" w:styleId="UnresolvedMention">
    <w:name w:val="Unresolved Mention"/>
    <w:basedOn w:val="DefaultParagraphFont"/>
    <w:uiPriority w:val="99"/>
    <w:semiHidden/>
    <w:unhideWhenUsed/>
    <w:rsid w:val="00D413BE"/>
    <w:rPr>
      <w:color w:val="605E5C"/>
      <w:shd w:val="clear" w:color="auto" w:fill="E1DFDD"/>
    </w:rPr>
  </w:style>
  <w:style w:type="character" w:customStyle="1" w:styleId="Heading1Char">
    <w:name w:val="Heading 1 Char"/>
    <w:basedOn w:val="DefaultParagraphFont"/>
    <w:link w:val="Heading1"/>
    <w:uiPriority w:val="9"/>
    <w:rsid w:val="000771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30</cp:revision>
  <dcterms:created xsi:type="dcterms:W3CDTF">2017-11-01T18:50:00Z</dcterms:created>
  <dcterms:modified xsi:type="dcterms:W3CDTF">2019-12-08T20:28:00Z</dcterms:modified>
</cp:coreProperties>
</file>